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33544251" w14:textId="77777777" w:rsidTr="007E1FDD">
        <w:trPr>
          <w:cantSplit/>
          <w:trHeight w:val="288"/>
        </w:trPr>
        <w:tc>
          <w:tcPr>
            <w:tcW w:w="1399" w:type="dxa"/>
            <w:vMerge w:val="restart"/>
          </w:tcPr>
          <w:p w14:paraId="53CB855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5589BE6" wp14:editId="73619933">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1C63431"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6BCD05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D3E74" w14:textId="77777777" w:rsidTr="007E7497">
        <w:trPr>
          <w:cantSplit/>
          <w:trHeight w:val="504"/>
        </w:trPr>
        <w:tc>
          <w:tcPr>
            <w:tcW w:w="1399" w:type="dxa"/>
            <w:vMerge/>
          </w:tcPr>
          <w:p w14:paraId="4280DC71" w14:textId="77777777" w:rsidR="003D25E1" w:rsidRPr="00891D0B" w:rsidRDefault="003D25E1" w:rsidP="000D7C75"/>
        </w:tc>
        <w:tc>
          <w:tcPr>
            <w:tcW w:w="5760" w:type="dxa"/>
            <w:vAlign w:val="center"/>
          </w:tcPr>
          <w:p w14:paraId="6495ABAC"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5CE7D068"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44330757" w14:textId="77777777"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164353">
              <w:rPr>
                <w:b/>
                <w:bCs/>
                <w:lang w:val="fr-FR"/>
              </w:rPr>
              <w:t>IN</w:t>
            </w:r>
            <w:r w:rsidR="005D7515">
              <w:rPr>
                <w:b/>
                <w:bCs/>
                <w:lang w:val="fr-FR"/>
              </w:rPr>
              <w:t>F</w:t>
            </w:r>
            <w:r>
              <w:rPr>
                <w:b/>
                <w:bCs/>
                <w:lang w:val="fr-FR"/>
              </w:rPr>
              <w:t>-</w:t>
            </w:r>
            <w:r w:rsidR="00C73F61">
              <w:rPr>
                <w:b/>
                <w:bCs/>
                <w:lang w:val="fr-FR"/>
              </w:rPr>
              <w:t>xx</w:t>
            </w:r>
          </w:p>
          <w:p w14:paraId="74AD5B1C" w14:textId="77777777" w:rsidR="003D25E1" w:rsidRPr="007E1FDD" w:rsidRDefault="003D25E1" w:rsidP="007E1FDD">
            <w:pPr>
              <w:rPr>
                <w:b/>
                <w:bCs/>
                <w:lang w:val="en-GB"/>
              </w:rPr>
            </w:pPr>
          </w:p>
        </w:tc>
      </w:tr>
      <w:tr w:rsidR="007E1FDD" w:rsidRPr="00891D0B" w14:paraId="4B793E6C" w14:textId="77777777" w:rsidTr="007E1FDD">
        <w:trPr>
          <w:cantSplit/>
          <w:trHeight w:val="288"/>
        </w:trPr>
        <w:tc>
          <w:tcPr>
            <w:tcW w:w="1399" w:type="dxa"/>
            <w:vMerge/>
          </w:tcPr>
          <w:p w14:paraId="7AA1B696" w14:textId="77777777" w:rsidR="007E1FDD" w:rsidRPr="007E1FDD" w:rsidRDefault="007E1FDD" w:rsidP="000D7C75">
            <w:pPr>
              <w:rPr>
                <w:lang w:val="en-GB"/>
              </w:rPr>
            </w:pPr>
          </w:p>
        </w:tc>
        <w:tc>
          <w:tcPr>
            <w:tcW w:w="5760" w:type="dxa"/>
            <w:vAlign w:val="bottom"/>
          </w:tcPr>
          <w:p w14:paraId="28E69F84"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32824AB8" w14:textId="77777777" w:rsidR="007E1FDD" w:rsidRPr="007E1FDD" w:rsidRDefault="00C73F61" w:rsidP="00C73F61">
            <w:pPr>
              <w:spacing w:before="40"/>
              <w:rPr>
                <w:bCs/>
              </w:rPr>
            </w:pPr>
            <w:r>
              <w:rPr>
                <w:bCs/>
              </w:rPr>
              <w:t>xx</w:t>
            </w:r>
            <w:r w:rsidR="007E1FDD" w:rsidRPr="007E1FDD">
              <w:rPr>
                <w:bCs/>
              </w:rPr>
              <w:t xml:space="preserve"> </w:t>
            </w:r>
            <w:r w:rsidR="00BB33AC">
              <w:rPr>
                <w:bCs/>
              </w:rPr>
              <w:t>August</w:t>
            </w:r>
            <w:r w:rsidR="007E1FDD" w:rsidRPr="007E1FDD">
              <w:rPr>
                <w:bCs/>
              </w:rPr>
              <w:t xml:space="preserve"> 20</w:t>
            </w:r>
            <w:r w:rsidR="00BB33AC">
              <w:rPr>
                <w:bCs/>
              </w:rPr>
              <w:t>23</w:t>
            </w:r>
          </w:p>
        </w:tc>
      </w:tr>
    </w:tbl>
    <w:p w14:paraId="055C9D50" w14:textId="77777777" w:rsidR="00133947" w:rsidRDefault="00133947" w:rsidP="00DA7595">
      <w:pPr>
        <w:rPr>
          <w:lang w:eastAsia="ko-KR"/>
        </w:rPr>
      </w:pPr>
    </w:p>
    <w:p w14:paraId="4D0BC500" w14:textId="77777777" w:rsidR="007E7497" w:rsidRDefault="007E7497" w:rsidP="00DA7595">
      <w:pPr>
        <w:rPr>
          <w:lang w:eastAsia="ko-KR"/>
        </w:rPr>
      </w:pPr>
    </w:p>
    <w:p w14:paraId="57918104" w14:textId="77777777" w:rsidR="00DA7595" w:rsidRPr="003D25E1" w:rsidRDefault="005D7515" w:rsidP="00DA7595">
      <w:pPr>
        <w:jc w:val="center"/>
        <w:rPr>
          <w:lang w:eastAsia="ko-KR"/>
        </w:rPr>
      </w:pPr>
      <w:r>
        <w:rPr>
          <w:lang w:eastAsia="ko-KR"/>
        </w:rPr>
        <w:t>GSA</w:t>
      </w:r>
    </w:p>
    <w:p w14:paraId="040F6580" w14:textId="77777777" w:rsidR="007E7497" w:rsidRPr="00B355DB" w:rsidRDefault="007E7497" w:rsidP="007E7497">
      <w:pPr>
        <w:jc w:val="center"/>
        <w:rPr>
          <w:caps/>
        </w:rPr>
      </w:pPr>
    </w:p>
    <w:p w14:paraId="5DB59A51" w14:textId="77777777" w:rsidR="007E7497" w:rsidRPr="00F22892" w:rsidRDefault="00E65FC2" w:rsidP="007E7497">
      <w:pPr>
        <w:jc w:val="center"/>
        <w:rPr>
          <w:b/>
          <w:bCs/>
          <w:caps/>
        </w:rPr>
      </w:pPr>
      <w:r>
        <w:rPr>
          <w:b/>
          <w:bCs/>
          <w:caps/>
        </w:rPr>
        <w:t xml:space="preserve">proposal </w:t>
      </w:r>
      <w:r w:rsidR="00343067">
        <w:rPr>
          <w:b/>
          <w:bCs/>
          <w:caps/>
        </w:rPr>
        <w:t xml:space="preserve">for </w:t>
      </w:r>
      <w:r w:rsidR="00D61F12">
        <w:rPr>
          <w:b/>
          <w:bCs/>
          <w:caps/>
        </w:rPr>
        <w:t xml:space="preserve">the </w:t>
      </w:r>
      <w:r w:rsidR="00343067">
        <w:rPr>
          <w:b/>
          <w:bCs/>
          <w:caps/>
        </w:rPr>
        <w:t>preliminary apt common pro</w:t>
      </w:r>
      <w:r w:rsidR="00C73F61">
        <w:rPr>
          <w:b/>
          <w:bCs/>
          <w:caps/>
        </w:rPr>
        <w:t>posals on wrc-</w:t>
      </w:r>
      <w:r w:rsidR="00BB33AC">
        <w:rPr>
          <w:b/>
          <w:bCs/>
          <w:caps/>
        </w:rPr>
        <w:t>23</w:t>
      </w:r>
      <w:r w:rsidR="00C73F61">
        <w:rPr>
          <w:b/>
          <w:bCs/>
          <w:caps/>
        </w:rPr>
        <w:t xml:space="preserve"> agenda items </w:t>
      </w:r>
      <w:r w:rsidR="005D7515">
        <w:rPr>
          <w:b/>
          <w:bCs/>
          <w:caps/>
        </w:rPr>
        <w:t>1</w:t>
      </w:r>
      <w:r w:rsidR="00C73F61">
        <w:rPr>
          <w:b/>
          <w:bCs/>
          <w:caps/>
        </w:rPr>
        <w:t>.1</w:t>
      </w:r>
      <w:r w:rsidR="00343067">
        <w:rPr>
          <w:b/>
          <w:bCs/>
          <w:caps/>
        </w:rPr>
        <w:t>,</w:t>
      </w:r>
      <w:r w:rsidR="00C73F61">
        <w:rPr>
          <w:b/>
          <w:bCs/>
          <w:caps/>
        </w:rPr>
        <w:t xml:space="preserve"> </w:t>
      </w:r>
      <w:r w:rsidR="005D7515">
        <w:rPr>
          <w:b/>
          <w:bCs/>
          <w:caps/>
        </w:rPr>
        <w:t>1</w:t>
      </w:r>
      <w:r w:rsidR="00C73F61">
        <w:rPr>
          <w:b/>
          <w:bCs/>
          <w:caps/>
        </w:rPr>
        <w:t xml:space="preserve">.2, </w:t>
      </w:r>
      <w:r w:rsidR="005D7515">
        <w:rPr>
          <w:b/>
          <w:bCs/>
          <w:caps/>
        </w:rPr>
        <w:t>1</w:t>
      </w:r>
      <w:r w:rsidR="00C73F61">
        <w:rPr>
          <w:b/>
          <w:bCs/>
          <w:caps/>
        </w:rPr>
        <w:t>.3</w:t>
      </w:r>
      <w:r w:rsidR="005D7515">
        <w:rPr>
          <w:b/>
          <w:bCs/>
          <w:caps/>
        </w:rPr>
        <w:t xml:space="preserve"> and 1.5</w:t>
      </w:r>
    </w:p>
    <w:p w14:paraId="1AEE05D2" w14:textId="77777777" w:rsidR="007E7497" w:rsidRPr="00F22892" w:rsidRDefault="007E7497" w:rsidP="007E7497"/>
    <w:p w14:paraId="38620E73" w14:textId="77777777" w:rsidR="007E7497" w:rsidRPr="00F22892" w:rsidRDefault="007E7497" w:rsidP="007E7497">
      <w:pPr>
        <w:jc w:val="both"/>
      </w:pPr>
    </w:p>
    <w:p w14:paraId="24D11E5B" w14:textId="77777777" w:rsidR="007E7497" w:rsidRDefault="007E7497" w:rsidP="007E7497">
      <w:pPr>
        <w:jc w:val="both"/>
        <w:rPr>
          <w:bCs/>
        </w:rPr>
      </w:pPr>
    </w:p>
    <w:p w14:paraId="058654F7" w14:textId="77777777" w:rsidR="00C73F61" w:rsidRDefault="00C73F61" w:rsidP="00C73F61">
      <w:pPr>
        <w:jc w:val="both"/>
      </w:pPr>
      <w:r>
        <w:rPr>
          <w:b/>
        </w:rPr>
        <w:t xml:space="preserve">Agenda Item </w:t>
      </w:r>
      <w:r w:rsidR="005D7515">
        <w:rPr>
          <w:b/>
        </w:rPr>
        <w:t>1</w:t>
      </w:r>
      <w:r>
        <w:rPr>
          <w:b/>
        </w:rPr>
        <w:t xml:space="preserve">.1: </w:t>
      </w:r>
    </w:p>
    <w:p w14:paraId="0D763B49" w14:textId="77777777" w:rsidR="00C73F61" w:rsidRPr="000A5418" w:rsidRDefault="005D7515" w:rsidP="00C73F61">
      <w:pPr>
        <w:jc w:val="both"/>
        <w:rPr>
          <w:i/>
        </w:rPr>
      </w:pPr>
      <w:r w:rsidRPr="002A6DD4">
        <w:rPr>
          <w:i/>
          <w:lang w:val="en-NZ"/>
        </w:rPr>
        <w:t xml:space="preserve">to consider, based on the results of the ITU R studies, possible measures to address, in the frequency band 4 800-4 990 MHz, protection of stations of the aeronautical and maritime mobile services located in international airspace and waters from other stations located within national territories, and to review the pfd criteria in No. </w:t>
      </w:r>
      <w:r w:rsidRPr="00520150">
        <w:rPr>
          <w:b/>
          <w:i/>
          <w:lang w:val="en-NZ"/>
        </w:rPr>
        <w:t>5.441B</w:t>
      </w:r>
      <w:r w:rsidRPr="002A6DD4">
        <w:rPr>
          <w:i/>
          <w:lang w:val="en-NZ"/>
        </w:rPr>
        <w:t xml:space="preserve"> in accordance with Resolution </w:t>
      </w:r>
      <w:r w:rsidRPr="00520150">
        <w:rPr>
          <w:b/>
          <w:i/>
          <w:lang w:val="en-NZ"/>
        </w:rPr>
        <w:t>223 (Rev.WRC</w:t>
      </w:r>
      <w:r>
        <w:rPr>
          <w:b/>
          <w:i/>
          <w:lang w:val="en-NZ"/>
        </w:rPr>
        <w:t>-</w:t>
      </w:r>
      <w:r w:rsidRPr="00520150">
        <w:rPr>
          <w:b/>
          <w:i/>
          <w:lang w:val="en-NZ"/>
        </w:rPr>
        <w:t>19)</w:t>
      </w:r>
      <w:r w:rsidRPr="002A6DD4">
        <w:rPr>
          <w:i/>
          <w:lang w:val="en-NZ"/>
        </w:rPr>
        <w:t>;</w:t>
      </w:r>
    </w:p>
    <w:p w14:paraId="0BCD11CD" w14:textId="77777777" w:rsidR="00C73F61" w:rsidRDefault="00C73F61" w:rsidP="00C73F61">
      <w:pPr>
        <w:jc w:val="both"/>
      </w:pPr>
    </w:p>
    <w:p w14:paraId="55309460" w14:textId="77777777" w:rsidR="00C73F61" w:rsidRDefault="00C73F61" w:rsidP="00C73F61">
      <w:pPr>
        <w:jc w:val="both"/>
        <w:rPr>
          <w:b/>
        </w:rPr>
      </w:pPr>
      <w:r>
        <w:rPr>
          <w:b/>
        </w:rPr>
        <w:t>Views and Proposals</w:t>
      </w:r>
    </w:p>
    <w:p w14:paraId="43B91BD7" w14:textId="77777777" w:rsidR="00C73F61" w:rsidRDefault="00C963B9" w:rsidP="00C963B9">
      <w:pPr>
        <w:tabs>
          <w:tab w:val="left" w:pos="600"/>
        </w:tabs>
      </w:pPr>
      <w:r w:rsidRPr="00C963B9">
        <w:t>GSA welcomes a decision by WRC-23 that globally expands the use of the 4800-4990 MHz band by IMT. GSA supports Delete pfd limit from RR No. 5.441B and rely on RR No. 9.21 (Method F)</w:t>
      </w:r>
    </w:p>
    <w:p w14:paraId="2F6DCF56" w14:textId="77777777" w:rsidR="00C73F61" w:rsidRDefault="00C73F61" w:rsidP="00C73F61">
      <w:pPr>
        <w:jc w:val="both"/>
      </w:pPr>
    </w:p>
    <w:p w14:paraId="22B7F3FB" w14:textId="77777777" w:rsidR="00C963B9" w:rsidRDefault="00C963B9" w:rsidP="00C73F61">
      <w:pPr>
        <w:jc w:val="both"/>
      </w:pPr>
    </w:p>
    <w:p w14:paraId="0617A094" w14:textId="77777777" w:rsidR="00C963B9" w:rsidRDefault="00C963B9" w:rsidP="00C73F61">
      <w:pPr>
        <w:jc w:val="both"/>
      </w:pPr>
    </w:p>
    <w:p w14:paraId="537810AD" w14:textId="77777777" w:rsidR="00C73F61" w:rsidRDefault="00C73F61" w:rsidP="00C73F61">
      <w:pPr>
        <w:jc w:val="both"/>
      </w:pPr>
      <w:r>
        <w:rPr>
          <w:b/>
        </w:rPr>
        <w:t xml:space="preserve">Agenda Item </w:t>
      </w:r>
      <w:r w:rsidR="005D7515">
        <w:rPr>
          <w:b/>
        </w:rPr>
        <w:t>1</w:t>
      </w:r>
      <w:r>
        <w:rPr>
          <w:b/>
        </w:rPr>
        <w:t xml:space="preserve">.2: </w:t>
      </w:r>
    </w:p>
    <w:p w14:paraId="40249E8E" w14:textId="77777777" w:rsidR="00C73F61" w:rsidRPr="000A5418" w:rsidRDefault="005D7515" w:rsidP="00C73F61">
      <w:pPr>
        <w:jc w:val="both"/>
        <w:rPr>
          <w:i/>
        </w:rPr>
      </w:pPr>
      <w:r>
        <w:rPr>
          <w:i/>
          <w:lang w:val="en-NZ"/>
        </w:rPr>
        <w:t>T</w:t>
      </w:r>
      <w:r w:rsidRPr="00324263">
        <w:rPr>
          <w:i/>
          <w:lang w:val="en-NZ"/>
        </w:rPr>
        <w:t>o consider identification of the frequency bands 3 300-3 400 MHz, 3 600-3 800 MHz, 6 425-7</w:t>
      </w:r>
      <w:r>
        <w:rPr>
          <w:i/>
          <w:lang w:val="en-NZ"/>
        </w:rPr>
        <w:t> </w:t>
      </w:r>
      <w:r w:rsidRPr="00324263">
        <w:rPr>
          <w:i/>
          <w:lang w:val="en-NZ"/>
        </w:rPr>
        <w:t>025 MHz, 7 025-7 125 MHz and 10.0-10.5 GHz for International</w:t>
      </w:r>
      <w:r>
        <w:rPr>
          <w:i/>
          <w:lang w:val="en-NZ"/>
        </w:rPr>
        <w:t xml:space="preserve"> </w:t>
      </w:r>
      <w:r w:rsidRPr="00324263">
        <w:rPr>
          <w:i/>
          <w:lang w:val="en-NZ"/>
        </w:rPr>
        <w:t xml:space="preserve">Mobile Telecommunications (IMT), including possible additional allocations to the mobile service on a primary basis, in accordance with Resolution </w:t>
      </w:r>
      <w:r w:rsidRPr="006420D8">
        <w:rPr>
          <w:b/>
          <w:i/>
          <w:lang w:val="en-NZ"/>
        </w:rPr>
        <w:t>245 (WRC-19)</w:t>
      </w:r>
      <w:r>
        <w:rPr>
          <w:i/>
          <w:lang w:val="en-NZ"/>
        </w:rPr>
        <w:t>.</w:t>
      </w:r>
    </w:p>
    <w:p w14:paraId="57E38207" w14:textId="77777777" w:rsidR="00C73F61" w:rsidRPr="008319BF" w:rsidRDefault="00C73F61" w:rsidP="00C73F61">
      <w:pPr>
        <w:jc w:val="both"/>
      </w:pPr>
    </w:p>
    <w:p w14:paraId="4E003B95" w14:textId="77777777" w:rsidR="00C73F61" w:rsidRDefault="000B595C" w:rsidP="00C73F61">
      <w:pPr>
        <w:jc w:val="both"/>
        <w:rPr>
          <w:b/>
        </w:rPr>
      </w:pPr>
      <w:r>
        <w:rPr>
          <w:b/>
        </w:rPr>
        <w:t>Views and Proposals</w:t>
      </w:r>
    </w:p>
    <w:p w14:paraId="79FA9253" w14:textId="77777777" w:rsidR="00565616" w:rsidRPr="00565616" w:rsidRDefault="00565616" w:rsidP="00C73F61">
      <w:pPr>
        <w:jc w:val="both"/>
        <w:rPr>
          <w:b/>
        </w:rPr>
      </w:pPr>
    </w:p>
    <w:p w14:paraId="1CCC7A22" w14:textId="77777777" w:rsidR="00C963B9" w:rsidRPr="00A142F9" w:rsidRDefault="00C963B9" w:rsidP="00C963B9">
      <w:pPr>
        <w:jc w:val="both"/>
      </w:pPr>
      <w:r w:rsidRPr="00A142F9">
        <w:t xml:space="preserve">3 600-3 800 MHz and 3 300-3 400 MHz (Region 2) </w:t>
      </w:r>
    </w:p>
    <w:p w14:paraId="6B76271E" w14:textId="77777777" w:rsidR="00C963B9" w:rsidRPr="00A142F9" w:rsidRDefault="00C963B9" w:rsidP="00C963B9">
      <w:pPr>
        <w:pStyle w:val="ListParagraph"/>
        <w:numPr>
          <w:ilvl w:val="0"/>
          <w:numId w:val="12"/>
        </w:numPr>
        <w:jc w:val="both"/>
      </w:pPr>
      <w:r w:rsidRPr="00C963B9">
        <w:t xml:space="preserve">GSA supports IMT identification in the band 3 600-3 800 MHz and 3 300-3 400 MHz under AI 1.2. Region 3 countries can take benefits of economies of scale and global harmonized IMT eco-systems. </w:t>
      </w:r>
      <w:r w:rsidRPr="00A142F9">
        <w:t xml:space="preserve"> </w:t>
      </w:r>
    </w:p>
    <w:p w14:paraId="2EC78FA7" w14:textId="77777777" w:rsidR="00C963B9" w:rsidRDefault="00C963B9" w:rsidP="00C963B9">
      <w:pPr>
        <w:jc w:val="both"/>
      </w:pPr>
    </w:p>
    <w:p w14:paraId="38DEC6EB" w14:textId="77777777" w:rsidR="00C963B9" w:rsidRPr="00A142F9" w:rsidRDefault="00C963B9" w:rsidP="00C963B9">
      <w:pPr>
        <w:jc w:val="both"/>
      </w:pPr>
      <w:r w:rsidRPr="00A142F9">
        <w:t>3 300-3 400 MHz (amend footnote in Region 1)</w:t>
      </w:r>
    </w:p>
    <w:p w14:paraId="558209A0" w14:textId="77777777" w:rsidR="00C963B9" w:rsidRPr="00A142F9" w:rsidRDefault="00C963B9" w:rsidP="00C963B9">
      <w:pPr>
        <w:pStyle w:val="ListParagraph"/>
        <w:numPr>
          <w:ilvl w:val="0"/>
          <w:numId w:val="13"/>
        </w:numPr>
        <w:jc w:val="both"/>
      </w:pPr>
      <w:r w:rsidRPr="00C963B9">
        <w:t xml:space="preserve">GSA supports IMT identification in the band 3 300-3 400 MHz under AI 1.2. Region 3 countries can take benefits of economies of scale and global harmonized IMT eco-systems. </w:t>
      </w:r>
    </w:p>
    <w:p w14:paraId="78B81A4F" w14:textId="77777777" w:rsidR="00C963B9" w:rsidRDefault="00C963B9" w:rsidP="00C963B9">
      <w:pPr>
        <w:jc w:val="both"/>
      </w:pPr>
    </w:p>
    <w:p w14:paraId="49D64B13" w14:textId="77777777" w:rsidR="00C963B9" w:rsidRPr="00A142F9" w:rsidRDefault="00C963B9" w:rsidP="00C963B9">
      <w:pPr>
        <w:jc w:val="both"/>
      </w:pPr>
      <w:r w:rsidRPr="00A142F9">
        <w:t>6 425-7 025 MHz (Region 1)</w:t>
      </w:r>
    </w:p>
    <w:p w14:paraId="3D0AF3D7" w14:textId="77777777" w:rsidR="00C963B9" w:rsidRDefault="00C963B9" w:rsidP="00C963B9">
      <w:pPr>
        <w:pStyle w:val="ListParagraph"/>
        <w:numPr>
          <w:ilvl w:val="0"/>
          <w:numId w:val="13"/>
        </w:numPr>
        <w:jc w:val="both"/>
      </w:pPr>
      <w:r w:rsidRPr="00C963B9">
        <w:t>GSA supports the IMT identification of the 6425-7</w:t>
      </w:r>
      <w:r w:rsidR="00F0027D">
        <w:t>0</w:t>
      </w:r>
      <w:r w:rsidRPr="00C963B9">
        <w:t>25 MHz band at WRC-23 under AI 1.2.</w:t>
      </w:r>
    </w:p>
    <w:p w14:paraId="68395412" w14:textId="77777777" w:rsidR="00C963B9" w:rsidRDefault="00C963B9" w:rsidP="00C963B9">
      <w:pPr>
        <w:pStyle w:val="ListParagraph"/>
        <w:ind w:left="420"/>
        <w:jc w:val="both"/>
      </w:pPr>
    </w:p>
    <w:p w14:paraId="7A5B35FD" w14:textId="77777777" w:rsidR="00C963B9" w:rsidRPr="00A142F9" w:rsidRDefault="00C963B9" w:rsidP="00C963B9">
      <w:pPr>
        <w:jc w:val="both"/>
      </w:pPr>
      <w:r w:rsidRPr="00A142F9">
        <w:t xml:space="preserve">7 025-7 125 MHz (globally) </w:t>
      </w:r>
    </w:p>
    <w:p w14:paraId="183329FE" w14:textId="77777777" w:rsidR="00C963B9" w:rsidRPr="00A142F9" w:rsidRDefault="00C963B9" w:rsidP="00C963B9">
      <w:pPr>
        <w:pStyle w:val="ListParagraph"/>
        <w:numPr>
          <w:ilvl w:val="0"/>
          <w:numId w:val="12"/>
        </w:numPr>
        <w:jc w:val="both"/>
      </w:pPr>
      <w:r w:rsidRPr="00C963B9">
        <w:t xml:space="preserve">GSA supports the IMT identification of the </w:t>
      </w:r>
      <w:r w:rsidR="00F0027D">
        <w:t>7025</w:t>
      </w:r>
      <w:r w:rsidRPr="00C963B9">
        <w:t>-7125 MHz band at WRC-23 under AI 1.2.</w:t>
      </w:r>
    </w:p>
    <w:p w14:paraId="7DDEAB25" w14:textId="77777777" w:rsidR="00C963B9" w:rsidRDefault="00C963B9" w:rsidP="00C963B9">
      <w:pPr>
        <w:jc w:val="both"/>
      </w:pPr>
    </w:p>
    <w:p w14:paraId="62589B48" w14:textId="77777777" w:rsidR="00C963B9" w:rsidRDefault="00C963B9" w:rsidP="002219FD">
      <w:pPr>
        <w:tabs>
          <w:tab w:val="left" w:pos="600"/>
        </w:tabs>
      </w:pPr>
      <w:r w:rsidRPr="00C963B9">
        <w:t>10-10.5 GHz (R</w:t>
      </w:r>
      <w:r>
        <w:t xml:space="preserve">egion </w:t>
      </w:r>
      <w:r w:rsidRPr="00C963B9">
        <w:t>2)</w:t>
      </w:r>
    </w:p>
    <w:p w14:paraId="7C4A0846" w14:textId="77777777" w:rsidR="00C963B9" w:rsidRPr="00C963B9" w:rsidRDefault="00C963B9" w:rsidP="00C963B9">
      <w:pPr>
        <w:pStyle w:val="ListParagraph"/>
        <w:numPr>
          <w:ilvl w:val="0"/>
          <w:numId w:val="12"/>
        </w:numPr>
        <w:jc w:val="both"/>
      </w:pPr>
      <w:r w:rsidRPr="00C963B9">
        <w:lastRenderedPageBreak/>
        <w:t xml:space="preserve">GSA supports IMT identification in the band 10-10.5 GHz under AI 1.2 provided regulatory/technical conditions allow commercially feasible deployments. </w:t>
      </w:r>
    </w:p>
    <w:p w14:paraId="3F2C4D95" w14:textId="77777777" w:rsidR="00C963B9" w:rsidRDefault="00C963B9" w:rsidP="002219FD">
      <w:pPr>
        <w:tabs>
          <w:tab w:val="left" w:pos="600"/>
        </w:tabs>
      </w:pPr>
    </w:p>
    <w:p w14:paraId="21A91330" w14:textId="77777777" w:rsidR="000B595C" w:rsidRDefault="00C963B9" w:rsidP="00C73F61">
      <w:pPr>
        <w:jc w:val="both"/>
      </w:pPr>
      <w:r w:rsidRPr="00C963B9">
        <w:t>For some of the bands listed above, some GSA members also have interests in other wireless technologies / applications</w:t>
      </w:r>
    </w:p>
    <w:p w14:paraId="6E51EBE8" w14:textId="77777777" w:rsidR="00C963B9" w:rsidRDefault="00C963B9" w:rsidP="00C73F61">
      <w:pPr>
        <w:jc w:val="both"/>
      </w:pPr>
    </w:p>
    <w:p w14:paraId="57D40A75" w14:textId="77777777" w:rsidR="00C963B9" w:rsidRDefault="00C963B9" w:rsidP="00C73F61">
      <w:pPr>
        <w:jc w:val="both"/>
      </w:pPr>
    </w:p>
    <w:p w14:paraId="7CA208FC" w14:textId="77777777" w:rsidR="00C963B9" w:rsidRDefault="00C963B9" w:rsidP="00C73F61">
      <w:pPr>
        <w:jc w:val="both"/>
      </w:pPr>
    </w:p>
    <w:p w14:paraId="6F3FAD9F" w14:textId="77777777" w:rsidR="00C73F61" w:rsidRDefault="00C73F61" w:rsidP="00C73F61">
      <w:pPr>
        <w:jc w:val="both"/>
      </w:pPr>
      <w:r>
        <w:rPr>
          <w:b/>
        </w:rPr>
        <w:t xml:space="preserve">Agenda Item </w:t>
      </w:r>
      <w:r w:rsidR="005D7515">
        <w:rPr>
          <w:b/>
        </w:rPr>
        <w:t>1</w:t>
      </w:r>
      <w:r>
        <w:rPr>
          <w:b/>
        </w:rPr>
        <w:t xml:space="preserve">.3: </w:t>
      </w:r>
    </w:p>
    <w:p w14:paraId="78F49330" w14:textId="77777777" w:rsidR="00C73F61" w:rsidRPr="000A5418" w:rsidRDefault="005D7515" w:rsidP="00C73F61">
      <w:pPr>
        <w:jc w:val="both"/>
        <w:rPr>
          <w:i/>
        </w:rPr>
      </w:pPr>
      <w:r w:rsidRPr="000C39C6">
        <w:rPr>
          <w:i/>
          <w:lang w:val="en-NZ"/>
        </w:rPr>
        <w:t>to consider primary allocation of the band 3 600</w:t>
      </w:r>
      <w:r w:rsidRPr="000C39C6">
        <w:rPr>
          <w:i/>
          <w:lang w:val="en-NZ"/>
        </w:rPr>
        <w:noBreakHyphen/>
        <w:t>3 800 MHz to mobile service within Region 1 and take appropriate regulatory actions, in accordance with Resolution </w:t>
      </w:r>
      <w:r w:rsidRPr="000C39C6">
        <w:rPr>
          <w:b/>
          <w:i/>
          <w:lang w:val="en-NZ"/>
        </w:rPr>
        <w:t>246 (WRC</w:t>
      </w:r>
      <w:r w:rsidRPr="000C39C6">
        <w:rPr>
          <w:b/>
          <w:i/>
          <w:lang w:val="en-NZ"/>
        </w:rPr>
        <w:noBreakHyphen/>
        <w:t>19</w:t>
      </w:r>
      <w:r w:rsidRPr="000C39C6">
        <w:rPr>
          <w:i/>
          <w:lang w:val="en-NZ"/>
        </w:rPr>
        <w:t>);</w:t>
      </w:r>
    </w:p>
    <w:p w14:paraId="59BF7DF7" w14:textId="77777777" w:rsidR="00C73F61" w:rsidRPr="008319BF" w:rsidRDefault="00C73F61" w:rsidP="00C73F61">
      <w:pPr>
        <w:jc w:val="both"/>
      </w:pPr>
    </w:p>
    <w:p w14:paraId="22504B5E" w14:textId="77777777" w:rsidR="00C73F61" w:rsidRPr="00565616" w:rsidRDefault="000B595C" w:rsidP="00565616">
      <w:pPr>
        <w:jc w:val="both"/>
        <w:rPr>
          <w:b/>
        </w:rPr>
      </w:pPr>
      <w:r>
        <w:rPr>
          <w:b/>
        </w:rPr>
        <w:t>Views and Proposals</w:t>
      </w:r>
    </w:p>
    <w:p w14:paraId="7D68186E" w14:textId="77777777" w:rsidR="00C963B9" w:rsidRDefault="00C963B9" w:rsidP="00C73F61">
      <w:pPr>
        <w:tabs>
          <w:tab w:val="left" w:pos="600"/>
        </w:tabs>
      </w:pPr>
      <w:r w:rsidRPr="00C963B9">
        <w:t xml:space="preserve">GSA supports the primary allocation of the band 3 600-3 800 MHz to the mobile service and IMT identification within Region 1. Region 3 countries can take benefits of economies of scale and global harmonized IMT eco-systems. </w:t>
      </w:r>
    </w:p>
    <w:p w14:paraId="1D7E3883" w14:textId="77777777" w:rsidR="00C73F61" w:rsidRDefault="00C73F61" w:rsidP="000B595C">
      <w:pPr>
        <w:jc w:val="both"/>
      </w:pPr>
    </w:p>
    <w:p w14:paraId="0E4AB982" w14:textId="77777777" w:rsidR="00C963B9" w:rsidRDefault="00C963B9" w:rsidP="000B595C">
      <w:pPr>
        <w:jc w:val="both"/>
      </w:pPr>
    </w:p>
    <w:p w14:paraId="63BB6161" w14:textId="77777777" w:rsidR="00C963B9" w:rsidRDefault="00C963B9" w:rsidP="000B595C">
      <w:pPr>
        <w:jc w:val="both"/>
      </w:pPr>
    </w:p>
    <w:p w14:paraId="2693A613" w14:textId="77777777" w:rsidR="00C73F61" w:rsidRDefault="00C73F61" w:rsidP="00C73F61">
      <w:pPr>
        <w:jc w:val="both"/>
      </w:pPr>
      <w:r>
        <w:rPr>
          <w:b/>
        </w:rPr>
        <w:t xml:space="preserve">Agenda Item </w:t>
      </w:r>
      <w:r w:rsidR="005D7515">
        <w:rPr>
          <w:b/>
        </w:rPr>
        <w:t>1</w:t>
      </w:r>
      <w:r>
        <w:rPr>
          <w:b/>
        </w:rPr>
        <w:t>.</w:t>
      </w:r>
      <w:r w:rsidR="005D7515">
        <w:rPr>
          <w:b/>
        </w:rPr>
        <w:t>5</w:t>
      </w:r>
      <w:r>
        <w:rPr>
          <w:b/>
        </w:rPr>
        <w:t xml:space="preserve">: </w:t>
      </w:r>
    </w:p>
    <w:p w14:paraId="0956E698" w14:textId="77777777" w:rsidR="00C73F61" w:rsidRPr="000A5418" w:rsidRDefault="005D7515" w:rsidP="00C73F61">
      <w:pPr>
        <w:jc w:val="both"/>
        <w:rPr>
          <w:i/>
        </w:rPr>
      </w:pPr>
      <w:r w:rsidRPr="009D055C">
        <w:rPr>
          <w:i/>
          <w:lang w:val="en-NZ"/>
        </w:rPr>
        <w:t>to review the spectrum use and spectrum needs of existing services in the frequency band 470-960 MHz in Region 1 and consider possible regulatory actions in the frequency band 470</w:t>
      </w:r>
      <w:r w:rsidRPr="009D055C">
        <w:rPr>
          <w:i/>
          <w:lang w:val="en-NZ"/>
        </w:rPr>
        <w:noBreakHyphen/>
        <w:t xml:space="preserve">694 MHz in Region 1 on the basis of the review in accordance with Resolution </w:t>
      </w:r>
      <w:r w:rsidRPr="00A767AF">
        <w:rPr>
          <w:b/>
          <w:i/>
          <w:lang w:val="en-NZ"/>
        </w:rPr>
        <w:t>235 (WRC</w:t>
      </w:r>
      <w:r w:rsidRPr="00A767AF">
        <w:rPr>
          <w:b/>
          <w:i/>
          <w:lang w:val="en-NZ"/>
        </w:rPr>
        <w:noBreakHyphen/>
        <w:t>15)</w:t>
      </w:r>
      <w:r w:rsidRPr="009D055C">
        <w:rPr>
          <w:i/>
          <w:lang w:val="en-NZ"/>
        </w:rPr>
        <w:t>;</w:t>
      </w:r>
    </w:p>
    <w:p w14:paraId="65D917D4" w14:textId="77777777" w:rsidR="00C73F61" w:rsidRPr="008319BF" w:rsidRDefault="00C73F61" w:rsidP="00C73F61">
      <w:pPr>
        <w:jc w:val="both"/>
      </w:pPr>
    </w:p>
    <w:p w14:paraId="54740C36" w14:textId="77777777" w:rsidR="00C73F61" w:rsidRPr="00565616" w:rsidRDefault="000B595C" w:rsidP="00C73F61">
      <w:pPr>
        <w:jc w:val="both"/>
        <w:rPr>
          <w:b/>
        </w:rPr>
      </w:pPr>
      <w:r>
        <w:rPr>
          <w:b/>
        </w:rPr>
        <w:t>Views and Proposals</w:t>
      </w:r>
    </w:p>
    <w:p w14:paraId="0305588D" w14:textId="77777777" w:rsidR="00C963B9" w:rsidRDefault="00C963B9" w:rsidP="002219FD">
      <w:pPr>
        <w:tabs>
          <w:tab w:val="left" w:pos="600"/>
        </w:tabs>
      </w:pPr>
      <w:r w:rsidRPr="00C963B9">
        <w:t xml:space="preserve">GSA supports the primary allocation of the band 470-694 MHz to the mobile service and IMT identification within Region 1. Region 3 countries are encouraged to join the existing R3 footnote on IMT identification (RR No. 5.296A) to take benefits of economies of scale and global harmonized IMT eco-systems. </w:t>
      </w:r>
    </w:p>
    <w:p w14:paraId="7F22C008" w14:textId="77777777" w:rsidR="00C73F61" w:rsidRDefault="00C73F61" w:rsidP="000B595C">
      <w:pPr>
        <w:jc w:val="both"/>
      </w:pPr>
    </w:p>
    <w:p w14:paraId="732DF68E" w14:textId="77777777" w:rsidR="00C73F61" w:rsidRPr="009A4A6D" w:rsidRDefault="00C73F61" w:rsidP="00C73F61">
      <w:pPr>
        <w:jc w:val="center"/>
        <w:rPr>
          <w:snapToGrid w:val="0"/>
        </w:rPr>
      </w:pPr>
      <w:r>
        <w:t>___________</w:t>
      </w:r>
    </w:p>
    <w:sectPr w:rsidR="00C73F61" w:rsidRPr="009A4A6D" w:rsidSect="007A3E29">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A031" w14:textId="77777777" w:rsidR="00352C7F" w:rsidRDefault="00352C7F">
      <w:r>
        <w:separator/>
      </w:r>
    </w:p>
  </w:endnote>
  <w:endnote w:type="continuationSeparator" w:id="0">
    <w:p w14:paraId="30615C49" w14:textId="77777777" w:rsidR="00352C7F" w:rsidRDefault="0035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limChe">
    <w:altName w:val="굴림체"/>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217E"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662F7E04"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FE1C"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4B0838F8" w14:textId="77777777" w:rsidTr="007E7497">
      <w:trPr>
        <w:cantSplit/>
        <w:trHeight w:val="204"/>
        <w:jc w:val="center"/>
      </w:trPr>
      <w:tc>
        <w:tcPr>
          <w:tcW w:w="1152" w:type="dxa"/>
        </w:tcPr>
        <w:p w14:paraId="03749898" w14:textId="77777777" w:rsidR="007E7497" w:rsidRDefault="007E7497" w:rsidP="007E7497">
          <w:pPr>
            <w:rPr>
              <w:b/>
              <w:bCs/>
            </w:rPr>
          </w:pPr>
          <w:r>
            <w:rPr>
              <w:b/>
              <w:bCs/>
            </w:rPr>
            <w:t>Contact:</w:t>
          </w:r>
        </w:p>
      </w:tc>
      <w:tc>
        <w:tcPr>
          <w:tcW w:w="5040" w:type="dxa"/>
        </w:tcPr>
        <w:p w14:paraId="2B0EB88A"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6ECA5E3F"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648E881A" w14:textId="77777777" w:rsidR="007E7497" w:rsidRDefault="007E7497" w:rsidP="00E23D98">
          <w:pPr>
            <w:rPr>
              <w:lang w:eastAsia="ja-JP"/>
            </w:rPr>
          </w:pPr>
          <w:r>
            <w:t>Email</w:t>
          </w:r>
          <w:r>
            <w:rPr>
              <w:rFonts w:hint="eastAsia"/>
            </w:rPr>
            <w:t xml:space="preserve">: </w:t>
          </w:r>
          <w:r w:rsidR="00E65FC2">
            <w:t xml:space="preserve"> </w:t>
          </w:r>
        </w:p>
      </w:tc>
    </w:tr>
  </w:tbl>
  <w:p w14:paraId="157E4EAC"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20C8" w14:textId="77777777" w:rsidR="00352C7F" w:rsidRDefault="00352C7F">
      <w:r>
        <w:separator/>
      </w:r>
    </w:p>
  </w:footnote>
  <w:footnote w:type="continuationSeparator" w:id="0">
    <w:p w14:paraId="0F0AF1DB" w14:textId="77777777" w:rsidR="00352C7F" w:rsidRDefault="00352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5A41" w14:textId="77777777" w:rsidR="007E1FDD" w:rsidRDefault="007E1FDD" w:rsidP="008E3821">
    <w:pPr>
      <w:pStyle w:val="Header"/>
      <w:tabs>
        <w:tab w:val="clear" w:pos="4320"/>
        <w:tab w:val="clear" w:pos="8640"/>
      </w:tabs>
      <w:rPr>
        <w:lang w:eastAsia="ko-KR"/>
      </w:rPr>
    </w:pPr>
  </w:p>
  <w:p w14:paraId="67D96E17"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06C98"/>
    <w:multiLevelType w:val="hybridMultilevel"/>
    <w:tmpl w:val="56EAA630"/>
    <w:lvl w:ilvl="0" w:tplc="722A45E8">
      <w:start w:val="2"/>
      <w:numFmt w:val="bullet"/>
      <w:lvlText w:val="-"/>
      <w:lvlJc w:val="left"/>
      <w:pPr>
        <w:ind w:left="420" w:hanging="420"/>
      </w:pPr>
      <w:rPr>
        <w:rFonts w:ascii="Times New Roman" w:eastAsia="Gulim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4D586988"/>
    <w:multiLevelType w:val="hybridMultilevel"/>
    <w:tmpl w:val="49CC860C"/>
    <w:lvl w:ilvl="0" w:tplc="F9086C14">
      <w:numFmt w:val="bullet"/>
      <w:lvlText w:val="-"/>
      <w:lvlJc w:val="left"/>
      <w:pPr>
        <w:ind w:left="420" w:hanging="420"/>
      </w:pPr>
      <w:rPr>
        <w:rFonts w:ascii="Times New Roman" w:eastAsia="Batang"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433012855">
    <w:abstractNumId w:val="7"/>
  </w:num>
  <w:num w:numId="2" w16cid:durableId="2053339660">
    <w:abstractNumId w:val="5"/>
  </w:num>
  <w:num w:numId="3" w16cid:durableId="2045475984">
    <w:abstractNumId w:val="4"/>
  </w:num>
  <w:num w:numId="4" w16cid:durableId="544104104">
    <w:abstractNumId w:val="10"/>
  </w:num>
  <w:num w:numId="5" w16cid:durableId="1447506139">
    <w:abstractNumId w:val="6"/>
  </w:num>
  <w:num w:numId="6" w16cid:durableId="753283933">
    <w:abstractNumId w:val="8"/>
  </w:num>
  <w:num w:numId="7" w16cid:durableId="1618366605">
    <w:abstractNumId w:val="3"/>
  </w:num>
  <w:num w:numId="8" w16cid:durableId="1335761709">
    <w:abstractNumId w:val="2"/>
  </w:num>
  <w:num w:numId="9" w16cid:durableId="1327441332">
    <w:abstractNumId w:val="12"/>
  </w:num>
  <w:num w:numId="10" w16cid:durableId="62801390">
    <w:abstractNumId w:val="0"/>
  </w:num>
  <w:num w:numId="11" w16cid:durableId="288317255">
    <w:abstractNumId w:val="11"/>
  </w:num>
  <w:num w:numId="12" w16cid:durableId="290867843">
    <w:abstractNumId w:val="9"/>
  </w:num>
  <w:num w:numId="13" w16cid:durableId="870143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3595B"/>
    <w:rsid w:val="00066CF9"/>
    <w:rsid w:val="000713CF"/>
    <w:rsid w:val="00075C14"/>
    <w:rsid w:val="00094B87"/>
    <w:rsid w:val="000A5418"/>
    <w:rsid w:val="000B1E8C"/>
    <w:rsid w:val="000B595C"/>
    <w:rsid w:val="000D7C75"/>
    <w:rsid w:val="000F517C"/>
    <w:rsid w:val="000F5540"/>
    <w:rsid w:val="00130A94"/>
    <w:rsid w:val="00133947"/>
    <w:rsid w:val="001539DD"/>
    <w:rsid w:val="00164353"/>
    <w:rsid w:val="00196568"/>
    <w:rsid w:val="001A2F16"/>
    <w:rsid w:val="001B18C2"/>
    <w:rsid w:val="001D5D7E"/>
    <w:rsid w:val="001F5947"/>
    <w:rsid w:val="0021588B"/>
    <w:rsid w:val="002216AC"/>
    <w:rsid w:val="002219FD"/>
    <w:rsid w:val="00230738"/>
    <w:rsid w:val="00241BCF"/>
    <w:rsid w:val="00254A1B"/>
    <w:rsid w:val="0028454D"/>
    <w:rsid w:val="00286912"/>
    <w:rsid w:val="00291C9E"/>
    <w:rsid w:val="002926D4"/>
    <w:rsid w:val="002C07DA"/>
    <w:rsid w:val="002C7EA9"/>
    <w:rsid w:val="002F5893"/>
    <w:rsid w:val="00342F20"/>
    <w:rsid w:val="00343067"/>
    <w:rsid w:val="00352C7F"/>
    <w:rsid w:val="003540E0"/>
    <w:rsid w:val="003548C2"/>
    <w:rsid w:val="003809C7"/>
    <w:rsid w:val="003B03B2"/>
    <w:rsid w:val="003B6263"/>
    <w:rsid w:val="003C4291"/>
    <w:rsid w:val="003C64A7"/>
    <w:rsid w:val="003D25E1"/>
    <w:rsid w:val="003D3FDA"/>
    <w:rsid w:val="00420822"/>
    <w:rsid w:val="00444170"/>
    <w:rsid w:val="004523AA"/>
    <w:rsid w:val="0045458F"/>
    <w:rsid w:val="004633B4"/>
    <w:rsid w:val="004854EE"/>
    <w:rsid w:val="004B3553"/>
    <w:rsid w:val="004C322E"/>
    <w:rsid w:val="00530E8C"/>
    <w:rsid w:val="00544D55"/>
    <w:rsid w:val="00545933"/>
    <w:rsid w:val="0054610B"/>
    <w:rsid w:val="00557544"/>
    <w:rsid w:val="005606F6"/>
    <w:rsid w:val="00565616"/>
    <w:rsid w:val="00577C0A"/>
    <w:rsid w:val="00587875"/>
    <w:rsid w:val="005C5EB6"/>
    <w:rsid w:val="005D3914"/>
    <w:rsid w:val="005D6B2F"/>
    <w:rsid w:val="005D7515"/>
    <w:rsid w:val="00607E2B"/>
    <w:rsid w:val="006139D6"/>
    <w:rsid w:val="00623CE1"/>
    <w:rsid w:val="0063062B"/>
    <w:rsid w:val="00667229"/>
    <w:rsid w:val="006769C2"/>
    <w:rsid w:val="00682BE5"/>
    <w:rsid w:val="00690FED"/>
    <w:rsid w:val="006939A5"/>
    <w:rsid w:val="006B0CE4"/>
    <w:rsid w:val="006E12FC"/>
    <w:rsid w:val="00712451"/>
    <w:rsid w:val="00731041"/>
    <w:rsid w:val="00732F08"/>
    <w:rsid w:val="0074190C"/>
    <w:rsid w:val="00762576"/>
    <w:rsid w:val="00791060"/>
    <w:rsid w:val="007A3E29"/>
    <w:rsid w:val="007B5626"/>
    <w:rsid w:val="007E1FDD"/>
    <w:rsid w:val="007E7497"/>
    <w:rsid w:val="007F08FF"/>
    <w:rsid w:val="0080570B"/>
    <w:rsid w:val="008148E1"/>
    <w:rsid w:val="00816F4E"/>
    <w:rsid w:val="008319BF"/>
    <w:rsid w:val="008337EA"/>
    <w:rsid w:val="008950FB"/>
    <w:rsid w:val="008D0E09"/>
    <w:rsid w:val="008E3821"/>
    <w:rsid w:val="0094028D"/>
    <w:rsid w:val="0097693B"/>
    <w:rsid w:val="00981932"/>
    <w:rsid w:val="00993355"/>
    <w:rsid w:val="009A4A6D"/>
    <w:rsid w:val="009E454E"/>
    <w:rsid w:val="00A0503B"/>
    <w:rsid w:val="00A13265"/>
    <w:rsid w:val="00A71136"/>
    <w:rsid w:val="00AA2D8E"/>
    <w:rsid w:val="00AA474C"/>
    <w:rsid w:val="00AD7E5F"/>
    <w:rsid w:val="00AF6E67"/>
    <w:rsid w:val="00B01AA1"/>
    <w:rsid w:val="00B30C81"/>
    <w:rsid w:val="00B3474C"/>
    <w:rsid w:val="00B4793B"/>
    <w:rsid w:val="00BB33AC"/>
    <w:rsid w:val="00BC7506"/>
    <w:rsid w:val="00BE29EB"/>
    <w:rsid w:val="00C15633"/>
    <w:rsid w:val="00C15799"/>
    <w:rsid w:val="00C20F4D"/>
    <w:rsid w:val="00C357AD"/>
    <w:rsid w:val="00C6069C"/>
    <w:rsid w:val="00C73F61"/>
    <w:rsid w:val="00C85119"/>
    <w:rsid w:val="00C963B9"/>
    <w:rsid w:val="00CD5431"/>
    <w:rsid w:val="00CF2491"/>
    <w:rsid w:val="00D1252E"/>
    <w:rsid w:val="00D57772"/>
    <w:rsid w:val="00D61F12"/>
    <w:rsid w:val="00D64812"/>
    <w:rsid w:val="00D72AE3"/>
    <w:rsid w:val="00D75A4D"/>
    <w:rsid w:val="00D8478B"/>
    <w:rsid w:val="00D86151"/>
    <w:rsid w:val="00DA7595"/>
    <w:rsid w:val="00DB0A68"/>
    <w:rsid w:val="00DC43A3"/>
    <w:rsid w:val="00DD7C09"/>
    <w:rsid w:val="00DF791C"/>
    <w:rsid w:val="00E0124F"/>
    <w:rsid w:val="00E23D98"/>
    <w:rsid w:val="00E545D9"/>
    <w:rsid w:val="00E65FC2"/>
    <w:rsid w:val="00E674D3"/>
    <w:rsid w:val="00E70FD0"/>
    <w:rsid w:val="00E80263"/>
    <w:rsid w:val="00EA7027"/>
    <w:rsid w:val="00EC1B79"/>
    <w:rsid w:val="00EC538C"/>
    <w:rsid w:val="00F0027D"/>
    <w:rsid w:val="00F27A79"/>
    <w:rsid w:val="00F84067"/>
    <w:rsid w:val="00F871F5"/>
    <w:rsid w:val="00FC156A"/>
    <w:rsid w:val="00FE3DE5"/>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A59D82"/>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character" w:styleId="UnresolvedMention">
    <w:name w:val="Unresolved Mention"/>
    <w:basedOn w:val="DefaultParagraphFont"/>
    <w:uiPriority w:val="99"/>
    <w:semiHidden/>
    <w:unhideWhenUsed/>
    <w:rsid w:val="00D61F12"/>
    <w:rPr>
      <w:color w:val="605E5C"/>
      <w:shd w:val="clear" w:color="auto" w:fill="E1DFDD"/>
    </w:rPr>
  </w:style>
  <w:style w:type="character" w:customStyle="1" w:styleId="ListParagraphChar">
    <w:name w:val="List Paragraph Char"/>
    <w:basedOn w:val="DefaultParagraphFont"/>
    <w:link w:val="ListParagraph"/>
    <w:uiPriority w:val="34"/>
    <w:locked/>
    <w:rsid w:val="00C963B9"/>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6132">
      <w:bodyDiv w:val="1"/>
      <w:marLeft w:val="0"/>
      <w:marRight w:val="0"/>
      <w:marTop w:val="0"/>
      <w:marBottom w:val="0"/>
      <w:divBdr>
        <w:top w:val="none" w:sz="0" w:space="0" w:color="auto"/>
        <w:left w:val="none" w:sz="0" w:space="0" w:color="auto"/>
        <w:bottom w:val="none" w:sz="0" w:space="0" w:color="auto"/>
        <w:right w:val="none" w:sz="0" w:space="0" w:color="auto"/>
      </w:divBdr>
      <w:divsChild>
        <w:div w:id="702899217">
          <w:marLeft w:val="274"/>
          <w:marRight w:val="0"/>
          <w:marTop w:val="150"/>
          <w:marBottom w:val="0"/>
          <w:divBdr>
            <w:top w:val="none" w:sz="0" w:space="0" w:color="auto"/>
            <w:left w:val="none" w:sz="0" w:space="0" w:color="auto"/>
            <w:bottom w:val="none" w:sz="0" w:space="0" w:color="auto"/>
            <w:right w:val="none" w:sz="0" w:space="0" w:color="auto"/>
          </w:divBdr>
        </w:div>
      </w:divsChild>
    </w:div>
    <w:div w:id="428893056">
      <w:bodyDiv w:val="1"/>
      <w:marLeft w:val="0"/>
      <w:marRight w:val="0"/>
      <w:marTop w:val="0"/>
      <w:marBottom w:val="0"/>
      <w:divBdr>
        <w:top w:val="none" w:sz="0" w:space="0" w:color="auto"/>
        <w:left w:val="none" w:sz="0" w:space="0" w:color="auto"/>
        <w:bottom w:val="none" w:sz="0" w:space="0" w:color="auto"/>
        <w:right w:val="none" w:sz="0" w:space="0" w:color="auto"/>
      </w:divBdr>
    </w:div>
    <w:div w:id="766467455">
      <w:bodyDiv w:val="1"/>
      <w:marLeft w:val="0"/>
      <w:marRight w:val="0"/>
      <w:marTop w:val="0"/>
      <w:marBottom w:val="0"/>
      <w:divBdr>
        <w:top w:val="none" w:sz="0" w:space="0" w:color="auto"/>
        <w:left w:val="none" w:sz="0" w:space="0" w:color="auto"/>
        <w:bottom w:val="none" w:sz="0" w:space="0" w:color="auto"/>
        <w:right w:val="none" w:sz="0" w:space="0" w:color="auto"/>
      </w:divBdr>
    </w:div>
    <w:div w:id="832797554">
      <w:bodyDiv w:val="1"/>
      <w:marLeft w:val="0"/>
      <w:marRight w:val="0"/>
      <w:marTop w:val="0"/>
      <w:marBottom w:val="0"/>
      <w:divBdr>
        <w:top w:val="none" w:sz="0" w:space="0" w:color="auto"/>
        <w:left w:val="none" w:sz="0" w:space="0" w:color="auto"/>
        <w:bottom w:val="none" w:sz="0" w:space="0" w:color="auto"/>
        <w:right w:val="none" w:sz="0" w:space="0" w:color="auto"/>
      </w:divBdr>
    </w:div>
    <w:div w:id="987125725">
      <w:bodyDiv w:val="1"/>
      <w:marLeft w:val="0"/>
      <w:marRight w:val="0"/>
      <w:marTop w:val="0"/>
      <w:marBottom w:val="0"/>
      <w:divBdr>
        <w:top w:val="none" w:sz="0" w:space="0" w:color="auto"/>
        <w:left w:val="none" w:sz="0" w:space="0" w:color="auto"/>
        <w:bottom w:val="none" w:sz="0" w:space="0" w:color="auto"/>
        <w:right w:val="none" w:sz="0" w:space="0" w:color="auto"/>
      </w:divBdr>
    </w:div>
    <w:div w:id="993875013">
      <w:bodyDiv w:val="1"/>
      <w:marLeft w:val="0"/>
      <w:marRight w:val="0"/>
      <w:marTop w:val="0"/>
      <w:marBottom w:val="0"/>
      <w:divBdr>
        <w:top w:val="none" w:sz="0" w:space="0" w:color="auto"/>
        <w:left w:val="none" w:sz="0" w:space="0" w:color="auto"/>
        <w:bottom w:val="none" w:sz="0" w:space="0" w:color="auto"/>
        <w:right w:val="none" w:sz="0" w:space="0" w:color="auto"/>
      </w:divBdr>
    </w:div>
    <w:div w:id="1024743189">
      <w:bodyDiv w:val="1"/>
      <w:marLeft w:val="0"/>
      <w:marRight w:val="0"/>
      <w:marTop w:val="0"/>
      <w:marBottom w:val="0"/>
      <w:divBdr>
        <w:top w:val="none" w:sz="0" w:space="0" w:color="auto"/>
        <w:left w:val="none" w:sz="0" w:space="0" w:color="auto"/>
        <w:bottom w:val="none" w:sz="0" w:space="0" w:color="auto"/>
        <w:right w:val="none" w:sz="0" w:space="0" w:color="auto"/>
      </w:divBdr>
      <w:divsChild>
        <w:div w:id="2043360848">
          <w:marLeft w:val="274"/>
          <w:marRight w:val="0"/>
          <w:marTop w:val="150"/>
          <w:marBottom w:val="0"/>
          <w:divBdr>
            <w:top w:val="none" w:sz="0" w:space="0" w:color="auto"/>
            <w:left w:val="none" w:sz="0" w:space="0" w:color="auto"/>
            <w:bottom w:val="none" w:sz="0" w:space="0" w:color="auto"/>
            <w:right w:val="none" w:sz="0" w:space="0" w:color="auto"/>
          </w:divBdr>
        </w:div>
      </w:divsChild>
    </w:div>
    <w:div w:id="1174028082">
      <w:bodyDiv w:val="1"/>
      <w:marLeft w:val="0"/>
      <w:marRight w:val="0"/>
      <w:marTop w:val="0"/>
      <w:marBottom w:val="0"/>
      <w:divBdr>
        <w:top w:val="none" w:sz="0" w:space="0" w:color="auto"/>
        <w:left w:val="none" w:sz="0" w:space="0" w:color="auto"/>
        <w:bottom w:val="none" w:sz="0" w:space="0" w:color="auto"/>
        <w:right w:val="none" w:sz="0" w:space="0" w:color="auto"/>
      </w:divBdr>
    </w:div>
    <w:div w:id="1697655234">
      <w:bodyDiv w:val="1"/>
      <w:marLeft w:val="0"/>
      <w:marRight w:val="0"/>
      <w:marTop w:val="0"/>
      <w:marBottom w:val="0"/>
      <w:divBdr>
        <w:top w:val="none" w:sz="0" w:space="0" w:color="auto"/>
        <w:left w:val="none" w:sz="0" w:space="0" w:color="auto"/>
        <w:bottom w:val="none" w:sz="0" w:space="0" w:color="auto"/>
        <w:right w:val="none" w:sz="0" w:space="0" w:color="auto"/>
      </w:divBdr>
      <w:divsChild>
        <w:div w:id="529103953">
          <w:marLeft w:val="806"/>
          <w:marRight w:val="0"/>
          <w:marTop w:val="75"/>
          <w:marBottom w:val="0"/>
          <w:divBdr>
            <w:top w:val="none" w:sz="0" w:space="0" w:color="auto"/>
            <w:left w:val="none" w:sz="0" w:space="0" w:color="auto"/>
            <w:bottom w:val="none" w:sz="0" w:space="0" w:color="auto"/>
            <w:right w:val="none" w:sz="0" w:space="0" w:color="auto"/>
          </w:divBdr>
        </w:div>
      </w:divsChild>
    </w:div>
    <w:div w:id="210915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FDC4083DE214ABBF683EE09950856" ma:contentTypeVersion="19" ma:contentTypeDescription="Create a new document." ma:contentTypeScope="" ma:versionID="db59afc80d99e5246002452531d8c710">
  <xsd:schema xmlns:xsd="http://www.w3.org/2001/XMLSchema" xmlns:xs="http://www.w3.org/2001/XMLSchema" xmlns:p="http://schemas.microsoft.com/office/2006/metadata/properties" xmlns:ns2="9cc7aec7-5194-473d-9b21-c55777bf361f" xmlns:ns3="548d82f5-6b6c-4aec-b2b6-6f1123044410" targetNamespace="http://schemas.microsoft.com/office/2006/metadata/properties" ma:root="true" ma:fieldsID="3ff5a159235bef520aebfa05e7591496" ns2:_="" ns3:_="">
    <xsd:import namespace="9cc7aec7-5194-473d-9b21-c55777bf361f"/>
    <xsd:import namespace="548d82f5-6b6c-4aec-b2b6-6f1123044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Source" minOccurs="0"/>
                <xsd:element ref="ns2:WG" minOccurs="0"/>
                <xsd:element ref="ns2:No" minOccurs="0"/>
                <xsd:element ref="ns2:MediaServiceOCR" minOccurs="0"/>
                <xsd:element ref="ns2:MediaServiceDateTaken" minOccurs="0"/>
                <xsd:element ref="ns2:MediaLengthInSeconds" minOccurs="0"/>
                <xsd:element ref="ns2:Agend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7aec7-5194-473d-9b21-c55777bf3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ce3ecdb-96a6-4789-a735-6520dfca83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Source" ma:index="17" nillable="true" ma:displayName="Source" ma:format="Dropdown" ma:internalName="Source">
      <xsd:simpleType>
        <xsd:restriction base="dms:Text">
          <xsd:maxLength value="255"/>
        </xsd:restriction>
      </xsd:simpleType>
    </xsd:element>
    <xsd:element name="WG" ma:index="18" nillable="true" ma:displayName="WP" ma:format="Dropdown" ma:internalName="WG">
      <xsd:simpleType>
        <xsd:restriction base="dms:Choice">
          <xsd:enumeration value="WP4"/>
          <xsd:enumeration value="WP1"/>
          <xsd:enumeration value="WP2"/>
          <xsd:enumeration value="WP3"/>
          <xsd:enumeration value="WP5"/>
          <xsd:enumeration value="Plenary"/>
        </xsd:restriction>
      </xsd:simpleType>
    </xsd:element>
    <xsd:element name="No" ma:index="19" nillable="true" ma:displayName="No" ma:format="Dropdown" ma:indexed="true" ma:internalName="No" ma:percentage="FALSE">
      <xsd:simpleType>
        <xsd:restriction base="dms:Number"/>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Agenda" ma:index="23" nillable="true" ma:displayName="Agenda" ma:format="Dropdown" ma:internalName="Agenda">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d82f5-6b6c-4aec-b2b6-6f11230444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709af9-956c-4b76-8412-9777b6933e64}" ma:internalName="TaxCatchAll" ma:showField="CatchAllData" ma:web="548d82f5-6b6c-4aec-b2b6-6f112304441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 xmlns="9cc7aec7-5194-473d-9b21-c55777bf361f" xsi:nil="true"/>
    <Agenda xmlns="9cc7aec7-5194-473d-9b21-c55777bf361f" xsi:nil="true"/>
    <lcf76f155ced4ddcb4097134ff3c332f xmlns="9cc7aec7-5194-473d-9b21-c55777bf361f">
      <Terms xmlns="http://schemas.microsoft.com/office/infopath/2007/PartnerControls"/>
    </lcf76f155ced4ddcb4097134ff3c332f>
    <TaxCatchAll xmlns="548d82f5-6b6c-4aec-b2b6-6f1123044410" xsi:nil="true"/>
    <WG xmlns="9cc7aec7-5194-473d-9b21-c55777bf361f" xsi:nil="true"/>
    <No xmlns="9cc7aec7-5194-473d-9b21-c55777bf361f" xsi:nil="true"/>
  </documentManagement>
</p:properties>
</file>

<file path=customXml/itemProps1.xml><?xml version="1.0" encoding="utf-8"?>
<ds:datastoreItem xmlns:ds="http://schemas.openxmlformats.org/officeDocument/2006/customXml" ds:itemID="{2A60F6AC-E79C-4AE6-8D04-7CBA0F8BA7EA}"/>
</file>

<file path=customXml/itemProps2.xml><?xml version="1.0" encoding="utf-8"?>
<ds:datastoreItem xmlns:ds="http://schemas.openxmlformats.org/officeDocument/2006/customXml" ds:itemID="{B4F21D7F-A15D-418E-A94E-A61D1389C44D}"/>
</file>

<file path=customXml/itemProps3.xml><?xml version="1.0" encoding="utf-8"?>
<ds:datastoreItem xmlns:ds="http://schemas.openxmlformats.org/officeDocument/2006/customXml" ds:itemID="{83C1FBCC-4D32-4791-BC51-942EABCAE246}"/>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Nies Purwati</cp:lastModifiedBy>
  <cp:revision>2</cp:revision>
  <cp:lastPrinted>2004-07-28T02:14:00Z</cp:lastPrinted>
  <dcterms:created xsi:type="dcterms:W3CDTF">2023-07-14T05:15:00Z</dcterms:created>
  <dcterms:modified xsi:type="dcterms:W3CDTF">2023-07-14T05:15:00Z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1689166954</vt:lpwstr>
  </property>
  <property fmtid="{D5CDD505-2E9C-101B-9397-08002B2CF9AE}" pid="6" name="ContentTypeId">
    <vt:lpwstr>0x010100CEBFDC4083DE214ABBF683EE09950856</vt:lpwstr>
  </property>
</Properties>
</file>